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江苏无锡经济开发区教育系统视力监测用表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宋体"/>
          <w:sz w:val="24"/>
          <w:szCs w:val="24"/>
        </w:rPr>
        <w:t>学校名称：</w:t>
      </w:r>
      <w:r>
        <w:rPr>
          <w:rFonts w:hint="eastAsia" w:ascii="黑体" w:hAnsi="黑体" w:eastAsia="黑体" w:cs="宋体"/>
          <w:sz w:val="24"/>
          <w:szCs w:val="24"/>
          <w:u w:val="single"/>
          <w:lang w:val="en-US" w:eastAsia="zh-CN"/>
        </w:rPr>
        <w:t xml:space="preserve"> 无锡市华庄中学</w:t>
      </w:r>
      <w:r>
        <w:rPr>
          <w:rFonts w:hint="eastAsia" w:ascii="黑体" w:hAnsi="黑体" w:eastAsia="黑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sz w:val="24"/>
          <w:szCs w:val="24"/>
        </w:rPr>
        <w:t>年级班级</w:t>
      </w:r>
      <w:r>
        <w:rPr>
          <w:rFonts w:hint="eastAsia" w:ascii="黑体" w:hAnsi="黑体" w:eastAsia="黑体" w:cs="宋体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宋体"/>
          <w:sz w:val="24"/>
          <w:szCs w:val="24"/>
          <w:lang w:val="en-US" w:eastAsia="zh-CN"/>
        </w:rPr>
        <w:t>检测日期：</w:t>
      </w:r>
      <w:r>
        <w:rPr>
          <w:rFonts w:hint="eastAsia" w:ascii="黑体" w:hAnsi="黑体" w:eastAsia="黑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sz w:val="28"/>
          <w:szCs w:val="28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身份证号码：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□□□□□□□□□□□□□□□□□□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tbl>
      <w:tblPr>
        <w:tblStyle w:val="3"/>
        <w:tblW w:w="8783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92"/>
        <w:gridCol w:w="992"/>
        <w:gridCol w:w="850"/>
        <w:gridCol w:w="280"/>
        <w:gridCol w:w="1130"/>
        <w:gridCol w:w="1286"/>
        <w:gridCol w:w="567"/>
        <w:gridCol w:w="970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学生姓名</w:t>
            </w:r>
          </w:p>
        </w:tc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性别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男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女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出生日期</w:t>
            </w:r>
          </w:p>
        </w:tc>
        <w:tc>
          <w:tcPr>
            <w:tcW w:w="3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年    月    日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寄宿与否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否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眼科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结膜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正常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>异常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角膜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正常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/>
              <w:jc w:val="center"/>
              <w:rPr>
                <w:rFonts w:ascii="黑体" w:hAnsi="黑体" w:eastAsia="黑体" w:cs="宋体"/>
                <w:b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晶体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正常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>异常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瞳孔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正常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/>
              <w:jc w:val="center"/>
              <w:rPr>
                <w:rFonts w:ascii="黑体" w:hAnsi="黑体" w:eastAsia="黑体" w:cs="宋体"/>
                <w:b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眼位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正常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>异常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眼球运动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正常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/>
              <w:jc w:val="center"/>
              <w:rPr>
                <w:rFonts w:ascii="黑体" w:hAnsi="黑体" w:eastAsia="黑体" w:cs="宋体"/>
                <w:b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/>
              <w:jc w:val="center"/>
              <w:rPr>
                <w:rFonts w:ascii="黑体" w:hAnsi="黑体" w:eastAsia="黑体" w:cs="宋体"/>
                <w:b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异常视觉行为</w:t>
            </w: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kern w:val="0"/>
                <w:szCs w:val="21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无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畏光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眯眼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歪头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/>
              <w:jc w:val="center"/>
              <w:rPr>
                <w:rFonts w:ascii="黑体" w:hAnsi="黑体" w:eastAsia="黑体" w:cs="宋体"/>
                <w:b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戴镜情况</w:t>
            </w: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不带镜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佩戴框架眼镜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佩戴隐形眼镜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/>
              <w:jc w:val="center"/>
              <w:rPr>
                <w:rFonts w:ascii="黑体" w:hAnsi="黑体" w:eastAsia="黑体" w:cs="宋体"/>
                <w:b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佩戴角膜塑形镜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*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右眼：□.□□</w:t>
            </w:r>
            <w:r>
              <w:rPr>
                <w:rFonts w:hint="eastAsia" w:ascii="黑体" w:hAnsi="黑体" w:eastAsia="黑体" w:cs="宋体"/>
                <w:szCs w:val="21"/>
              </w:rPr>
              <w:t>D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*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左眼：□.□□</w:t>
            </w:r>
            <w:r>
              <w:rPr>
                <w:rFonts w:hint="eastAsia" w:ascii="黑体" w:hAnsi="黑体" w:eastAsia="黑体" w:cs="宋体"/>
                <w:szCs w:val="21"/>
              </w:rPr>
              <w:t>D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右眼裸眼视力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（按5.0计数法）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左眼裸眼视力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（按5.0计数法）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右眼戴镜视力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 w:cs="宋体"/>
                <w:szCs w:val="21"/>
              </w:rPr>
              <w:t>（按5.0计数法）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左眼戴镜视力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*</w:t>
            </w:r>
            <w:r>
              <w:rPr>
                <w:rFonts w:hint="eastAsia" w:ascii="黑体" w:hAnsi="黑体" w:eastAsia="黑体" w:cs="宋体"/>
                <w:szCs w:val="21"/>
              </w:rPr>
              <w:t>（按5.0计数法）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屈光度检查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右眼</w:t>
            </w:r>
          </w:p>
        </w:tc>
        <w:tc>
          <w:tcPr>
            <w:tcW w:w="5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+  ② -  ③ 0  球镜（S）□.□□D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+  ② -  ③ 0  柱镜（C）□.□□D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轴向值 (A)□□□°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左眼</w:t>
            </w:r>
          </w:p>
        </w:tc>
        <w:tc>
          <w:tcPr>
            <w:tcW w:w="5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+  ② -  ③ 0  球镜（S）□.□□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numPr>
                <w:ilvl w:val="0"/>
                <w:numId w:val="4"/>
              </w:numPr>
              <w:adjustRightInd w:val="0"/>
              <w:snapToGrid w:val="0"/>
              <w:ind w:firstLineChars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+  ② -  ③ 0  柱镜（C）□.□□D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轴向值 (A)□□□°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临床印象</w:t>
            </w:r>
          </w:p>
        </w:tc>
        <w:tc>
          <w:tcPr>
            <w:tcW w:w="605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未见异常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近视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远视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弱视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斜视</w:t>
            </w:r>
          </w:p>
          <w:p>
            <w:pPr>
              <w:adjustRightInd w:val="0"/>
              <w:snapToGrid w:val="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散光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沙眼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结膜炎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角膜曲率半径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*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右眼：□□.□□mm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眼轴长度</w:t>
            </w:r>
            <w:r>
              <w:rPr>
                <w:rFonts w:hint="eastAsia" w:ascii="黑体" w:hAnsi="黑体" w:eastAsia="黑体" w:cs="宋体"/>
                <w:color w:val="FF0000"/>
                <w:szCs w:val="21"/>
              </w:rPr>
              <w:t>*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右眼：□□.□□mm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左眼：□□.□□mm</w:t>
            </w:r>
          </w:p>
        </w:tc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左眼：□□.□□mm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随访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*</w:t>
            </w: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转诊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*</w:t>
            </w:r>
          </w:p>
        </w:tc>
        <w:tc>
          <w:tcPr>
            <w:tcW w:w="6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74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色觉</w:t>
            </w:r>
            <w:r>
              <w:rPr>
                <w:rFonts w:hint="eastAsia" w:ascii="黑体" w:hAnsi="黑体" w:eastAsia="黑体" w:cs="宋体"/>
                <w:b/>
                <w:color w:val="FF0000"/>
                <w:szCs w:val="21"/>
              </w:rPr>
              <w:t>*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 xml:space="preserve">正常  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sym w:font="Wingdings" w:char="F0A1"/>
            </w:r>
            <w:r>
              <w:rPr>
                <w:rFonts w:hint="eastAsia" w:ascii="黑体" w:hAnsi="黑体" w:eastAsia="黑体" w:cs="宋体"/>
                <w:szCs w:val="21"/>
              </w:rPr>
              <w:t>异常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医师签名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701" w:right="1474" w:bottom="1134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F20D4"/>
    <w:multiLevelType w:val="multilevel"/>
    <w:tmpl w:val="13CF20D4"/>
    <w:lvl w:ilvl="0" w:tentative="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4A6C4984"/>
    <w:multiLevelType w:val="multilevel"/>
    <w:tmpl w:val="4A6C4984"/>
    <w:lvl w:ilvl="0" w:tentative="0">
      <w:start w:val="1"/>
      <w:numFmt w:val="decimalEnclosedCircle"/>
      <w:lvlText w:val="%1"/>
      <w:lvlJc w:val="left"/>
      <w:pPr>
        <w:ind w:left="48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5FC43117"/>
    <w:multiLevelType w:val="multilevel"/>
    <w:tmpl w:val="5FC43117"/>
    <w:lvl w:ilvl="0" w:tentative="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abstractNum w:abstractNumId="3">
    <w:nsid w:val="6BE2125B"/>
    <w:multiLevelType w:val="multilevel"/>
    <w:tmpl w:val="6BE2125B"/>
    <w:lvl w:ilvl="0" w:tentative="0">
      <w:start w:val="1"/>
      <w:numFmt w:val="decimalEnclosedCircle"/>
      <w:lvlText w:val="%1"/>
      <w:lvlJc w:val="left"/>
      <w:pPr>
        <w:ind w:left="48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zExNjAyMGUxNTI4ZDE1OGQ2MjM0OTNmZjllZGIifQ=="/>
  </w:docVars>
  <w:rsids>
    <w:rsidRoot w:val="00172A27"/>
    <w:rsid w:val="3BD11A9C"/>
    <w:rsid w:val="460E7941"/>
    <w:rsid w:val="480E3309"/>
    <w:rsid w:val="5F6B5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452</Words>
  <Characters>478</Characters>
  <Lines>1</Lines>
  <Paragraphs>1</Paragraphs>
  <TotalTime>2</TotalTime>
  <ScaleCrop>false</ScaleCrop>
  <LinksUpToDate>false</LinksUpToDate>
  <CharactersWithSpaces>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双氧水</cp:lastModifiedBy>
  <cp:lastPrinted>2022-05-25T01:15:45Z</cp:lastPrinted>
  <dcterms:modified xsi:type="dcterms:W3CDTF">2024-06-11T04:00:48Z</dcterms:modified>
  <dc:title>江苏省中小学生健康体检用表（2022版）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259316BF17B3408A90884170590FDEB5_13</vt:lpwstr>
  </property>
</Properties>
</file>